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67" w:rsidRDefault="00936167" w:rsidP="0093616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147"/>
      </w:tblGrid>
      <w:tr w:rsidR="00936167" w:rsidTr="001475ED">
        <w:tc>
          <w:tcPr>
            <w:tcW w:w="4353" w:type="dxa"/>
            <w:shd w:val="clear" w:color="auto" w:fill="auto"/>
          </w:tcPr>
          <w:p w:rsidR="00936167" w:rsidRPr="00922AA9" w:rsidRDefault="00936167" w:rsidP="00BA228E">
            <w:pPr>
              <w:jc w:val="center"/>
              <w:rPr>
                <w:rFonts w:ascii="Arial" w:hAnsi="Arial" w:cs="Arial"/>
                <w:b/>
                <w:color w:val="993366"/>
                <w:sz w:val="32"/>
                <w:szCs w:val="32"/>
              </w:rPr>
            </w:pPr>
          </w:p>
          <w:p w:rsidR="00936167" w:rsidRPr="00922AA9" w:rsidRDefault="00936167" w:rsidP="00BA228E">
            <w:pPr>
              <w:jc w:val="center"/>
              <w:rPr>
                <w:b/>
                <w:color w:val="993366"/>
                <w:sz w:val="32"/>
                <w:szCs w:val="32"/>
              </w:rPr>
            </w:pPr>
            <w:smartTag w:uri="urn:schemas-microsoft-com:office:smarttags" w:element="City">
              <w:smartTag w:uri="urn:schemas-microsoft-com:office:smarttags" w:element="place">
                <w:r w:rsidRPr="00922AA9">
                  <w:rPr>
                    <w:rFonts w:ascii="Arial" w:hAnsi="Arial" w:cs="Arial"/>
                    <w:b/>
                    <w:color w:val="993366"/>
                    <w:sz w:val="32"/>
                    <w:szCs w:val="32"/>
                  </w:rPr>
                  <w:t>Bedford</w:t>
                </w:r>
              </w:smartTag>
            </w:smartTag>
            <w:r w:rsidRPr="00922AA9">
              <w:rPr>
                <w:rFonts w:ascii="Arial" w:hAnsi="Arial" w:cs="Arial"/>
                <w:b/>
                <w:color w:val="993366"/>
                <w:sz w:val="32"/>
                <w:szCs w:val="32"/>
              </w:rPr>
              <w:t xml:space="preserve"> Borough Council</w:t>
            </w:r>
          </w:p>
          <w:p w:rsidR="00936167" w:rsidRPr="00922AA9" w:rsidRDefault="00936167" w:rsidP="00BA228E">
            <w:pPr>
              <w:rPr>
                <w:color w:val="993366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936167" w:rsidRPr="00922AA9" w:rsidRDefault="00936167" w:rsidP="00BA228E">
            <w:pPr>
              <w:rPr>
                <w:color w:val="993366"/>
              </w:rPr>
            </w:pPr>
          </w:p>
          <w:p w:rsidR="00936167" w:rsidRDefault="0067545E" w:rsidP="00BA228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1115695</wp:posOffset>
                  </wp:positionH>
                  <wp:positionV relativeFrom="paragraph">
                    <wp:posOffset>-172085</wp:posOffset>
                  </wp:positionV>
                  <wp:extent cx="565150" cy="732790"/>
                  <wp:effectExtent l="0" t="0" r="6350" b="0"/>
                  <wp:wrapSquare wrapText="bothSides"/>
                  <wp:docPr id="1" name="Picture 1" descr="Council%20Portrait%20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uncil%20Portrait%20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:rsidR="00936167" w:rsidRDefault="00936167" w:rsidP="009361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132"/>
        <w:gridCol w:w="1988"/>
        <w:gridCol w:w="2126"/>
        <w:gridCol w:w="2111"/>
      </w:tblGrid>
      <w:tr w:rsidR="00936167" w:rsidTr="00BA228E">
        <w:tc>
          <w:tcPr>
            <w:tcW w:w="8705" w:type="dxa"/>
            <w:gridSpan w:val="5"/>
            <w:shd w:val="clear" w:color="auto" w:fill="auto"/>
          </w:tcPr>
          <w:p w:rsidR="00936167" w:rsidRPr="00922AA9" w:rsidRDefault="00936167" w:rsidP="00BA228E">
            <w:pPr>
              <w:jc w:val="center"/>
              <w:rPr>
                <w:rFonts w:ascii="Arial" w:hAnsi="Arial" w:cs="Arial"/>
              </w:rPr>
            </w:pPr>
            <w:r w:rsidRPr="00922AA9">
              <w:rPr>
                <w:rFonts w:ascii="Arial" w:hAnsi="Arial" w:cs="Arial"/>
              </w:rPr>
              <w:t>ROAD TRAFFIC REGULATION ACT 1984</w:t>
            </w:r>
          </w:p>
          <w:p w:rsidR="00936167" w:rsidRPr="00922AA9" w:rsidRDefault="00936167" w:rsidP="00BA228E">
            <w:pPr>
              <w:jc w:val="center"/>
              <w:rPr>
                <w:rFonts w:ascii="Arial" w:hAnsi="Arial" w:cs="Arial"/>
              </w:rPr>
            </w:pPr>
          </w:p>
          <w:p w:rsidR="00936167" w:rsidRPr="0067545E" w:rsidRDefault="00936167" w:rsidP="0067545E">
            <w:pPr>
              <w:pStyle w:val="Heading1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7545E">
              <w:rPr>
                <w:rFonts w:ascii="Arial" w:hAnsi="Arial" w:cs="Arial"/>
                <w:color w:val="auto"/>
                <w:sz w:val="24"/>
                <w:szCs w:val="24"/>
              </w:rPr>
              <w:t>APPLICATION FOR A TEMPORARY TRAFFIC REGULATION ORDER</w:t>
            </w:r>
          </w:p>
          <w:p w:rsidR="00936167" w:rsidRPr="00922AA9" w:rsidRDefault="00936167" w:rsidP="0067545E">
            <w:pPr>
              <w:pStyle w:val="Heading1"/>
              <w:jc w:val="center"/>
            </w:pPr>
            <w:r w:rsidRPr="0067545E">
              <w:rPr>
                <w:rFonts w:ascii="Arial" w:hAnsi="Arial" w:cs="Arial"/>
                <w:color w:val="auto"/>
                <w:sz w:val="24"/>
                <w:szCs w:val="24"/>
              </w:rPr>
              <w:t>TO CLOSE A PUBLIC RIGHT OF WAY - 2023</w:t>
            </w:r>
          </w:p>
        </w:tc>
      </w:tr>
      <w:tr w:rsidR="00936167" w:rsidRPr="00922AA9" w:rsidTr="00BA228E">
        <w:tc>
          <w:tcPr>
            <w:tcW w:w="2308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936167" w:rsidRPr="00922AA9" w:rsidRDefault="00936167" w:rsidP="00BA22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2308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On behalf of</w:t>
            </w: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(If applicable)</w:t>
            </w:r>
          </w:p>
        </w:tc>
        <w:tc>
          <w:tcPr>
            <w:tcW w:w="6397" w:type="dxa"/>
            <w:gridSpan w:val="3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2308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Land Line and Mobile Telephone</w:t>
            </w: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Numbers</w:t>
            </w:r>
          </w:p>
        </w:tc>
        <w:tc>
          <w:tcPr>
            <w:tcW w:w="6397" w:type="dxa"/>
            <w:gridSpan w:val="3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2308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2308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7" w:type="dxa"/>
            <w:gridSpan w:val="3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2308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Parish, path</w:t>
            </w: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If known</w:t>
            </w:r>
          </w:p>
        </w:tc>
        <w:tc>
          <w:tcPr>
            <w:tcW w:w="6397" w:type="dxa"/>
            <w:gridSpan w:val="3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2308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Reason for closure</w:t>
            </w: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 xml:space="preserve">Enclose map showing extent of closure </w:t>
            </w:r>
          </w:p>
        </w:tc>
        <w:tc>
          <w:tcPr>
            <w:tcW w:w="6397" w:type="dxa"/>
            <w:gridSpan w:val="3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 xml:space="preserve">Works/ Order </w:t>
            </w: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Start Date</w:t>
            </w: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Expected Completion Date</w:t>
            </w:r>
          </w:p>
        </w:tc>
        <w:tc>
          <w:tcPr>
            <w:tcW w:w="2177" w:type="dxa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Type of Closure required</w:t>
            </w:r>
          </w:p>
        </w:tc>
        <w:tc>
          <w:tcPr>
            <w:tcW w:w="21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176" w:type="dxa"/>
            <w:shd w:val="clear" w:color="auto" w:fill="auto"/>
          </w:tcPr>
          <w:p w:rsidR="00936167" w:rsidRPr="00537518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537518">
              <w:rPr>
                <w:rFonts w:ascii="Arial" w:hAnsi="Arial" w:cs="Arial"/>
                <w:sz w:val="20"/>
                <w:szCs w:val="20"/>
              </w:rPr>
              <w:t>Tick to select</w:t>
            </w:r>
          </w:p>
        </w:tc>
        <w:tc>
          <w:tcPr>
            <w:tcW w:w="2177" w:type="dxa"/>
            <w:shd w:val="clear" w:color="auto" w:fill="auto"/>
          </w:tcPr>
          <w:p w:rsidR="00936167" w:rsidRPr="00537518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537518">
              <w:rPr>
                <w:rFonts w:ascii="Arial" w:hAnsi="Arial" w:cs="Arial"/>
                <w:sz w:val="20"/>
                <w:szCs w:val="20"/>
              </w:rPr>
              <w:t>Price</w:t>
            </w:r>
            <w:r>
              <w:rPr>
                <w:rFonts w:ascii="Arial" w:hAnsi="Arial" w:cs="Arial"/>
                <w:sz w:val="20"/>
                <w:szCs w:val="20"/>
              </w:rPr>
              <w:t xml:space="preserve"> (VAT exempt)</w:t>
            </w:r>
          </w:p>
        </w:tc>
      </w:tr>
      <w:tr w:rsidR="00936167" w:rsidRPr="00922AA9" w:rsidTr="00BA228E"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922AA9">
              <w:rPr>
                <w:rFonts w:ascii="Arial" w:hAnsi="Arial" w:cs="Arial"/>
                <w:sz w:val="20"/>
                <w:szCs w:val="20"/>
              </w:rPr>
              <w:t xml:space="preserve">Temporary </w:t>
            </w:r>
            <w:r>
              <w:rPr>
                <w:rFonts w:ascii="Arial" w:hAnsi="Arial" w:cs="Arial"/>
                <w:sz w:val="20"/>
                <w:szCs w:val="20"/>
              </w:rPr>
              <w:t>TRO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22AA9">
              <w:rPr>
                <w:rFonts w:ascii="Arial" w:hAnsi="Arial" w:cs="Arial"/>
                <w:sz w:val="20"/>
                <w:szCs w:val="20"/>
              </w:rPr>
              <w:t xml:space="preserve">up to 6 months (4 </w:t>
            </w:r>
            <w:r>
              <w:rPr>
                <w:rFonts w:ascii="Arial" w:hAnsi="Arial" w:cs="Arial"/>
                <w:sz w:val="20"/>
                <w:szCs w:val="20"/>
              </w:rPr>
              <w:t xml:space="preserve">or more </w:t>
            </w:r>
            <w:proofErr w:type="spellStart"/>
            <w:r w:rsidRPr="00922AA9">
              <w:rPr>
                <w:rFonts w:ascii="Arial" w:hAnsi="Arial" w:cs="Arial"/>
                <w:sz w:val="20"/>
                <w:szCs w:val="20"/>
              </w:rPr>
              <w:t>weeks notice</w:t>
            </w:r>
            <w:proofErr w:type="spellEnd"/>
            <w:r w:rsidRPr="00922A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922AA9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1538.45</w:t>
            </w: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922AA9">
              <w:rPr>
                <w:rFonts w:ascii="Arial" w:hAnsi="Arial" w:cs="Arial"/>
                <w:sz w:val="20"/>
                <w:szCs w:val="20"/>
              </w:rPr>
              <w:t xml:space="preserve">Emergency </w:t>
            </w:r>
            <w:r>
              <w:rPr>
                <w:rFonts w:ascii="Arial" w:hAnsi="Arial" w:cs="Arial"/>
                <w:sz w:val="20"/>
                <w:szCs w:val="20"/>
              </w:rPr>
              <w:t>TRO</w:t>
            </w:r>
            <w:r w:rsidRPr="00922A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922AA9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846.80</w:t>
            </w:r>
          </w:p>
        </w:tc>
      </w:tr>
      <w:tr w:rsidR="00936167" w:rsidRPr="00922AA9" w:rsidTr="00BA228E"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922AA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xtension of TRO</w:t>
            </w:r>
            <w:r w:rsidRPr="00922A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(If works are not completed)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922AA9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461.55</w:t>
            </w: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4352" w:type="dxa"/>
            <w:gridSpan w:val="3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922AA9">
              <w:rPr>
                <w:rFonts w:ascii="Arial" w:hAnsi="Arial" w:cs="Arial"/>
                <w:sz w:val="20"/>
                <w:szCs w:val="20"/>
              </w:rPr>
              <w:t>Any other details / Purchase Order number</w:t>
            </w: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3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8705" w:type="dxa"/>
            <w:gridSpan w:val="5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  <w:r w:rsidRPr="00922AA9">
              <w:rPr>
                <w:rFonts w:ascii="Arial" w:hAnsi="Arial" w:cs="Arial"/>
                <w:sz w:val="20"/>
                <w:szCs w:val="20"/>
              </w:rPr>
              <w:t>I have read and understood the attached notes and charges</w:t>
            </w:r>
          </w:p>
        </w:tc>
      </w:tr>
      <w:tr w:rsidR="00936167" w:rsidRPr="00922AA9" w:rsidTr="00BA228E">
        <w:tc>
          <w:tcPr>
            <w:tcW w:w="2176" w:type="dxa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Signed</w:t>
            </w: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6" w:type="dxa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167" w:rsidRPr="00922AA9" w:rsidRDefault="00936167" w:rsidP="00BA22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2AA9">
              <w:rPr>
                <w:rFonts w:ascii="Arial" w:hAnsi="Arial" w:cs="Arial"/>
                <w:b/>
                <w:sz w:val="20"/>
                <w:szCs w:val="20"/>
              </w:rPr>
              <w:t>Dated</w:t>
            </w: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8705" w:type="dxa"/>
            <w:gridSpan w:val="5"/>
            <w:shd w:val="clear" w:color="auto" w:fill="auto"/>
          </w:tcPr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  <w:p w:rsidR="00936167" w:rsidRDefault="00936167" w:rsidP="00BA228E">
            <w:pPr>
              <w:spacing w:before="28" w:line="244" w:lineRule="exact"/>
              <w:ind w:left="120" w:right="806"/>
              <w:rPr>
                <w:rFonts w:ascii="Arial" w:hAnsi="Arial" w:cs="Arial"/>
                <w:sz w:val="20"/>
                <w:szCs w:val="20"/>
              </w:rPr>
            </w:pPr>
            <w:r w:rsidRPr="00922AA9">
              <w:rPr>
                <w:rFonts w:ascii="Arial" w:hAnsi="Arial" w:cs="Arial"/>
                <w:sz w:val="20"/>
                <w:szCs w:val="20"/>
              </w:rPr>
              <w:t xml:space="preserve">Please return to </w:t>
            </w:r>
            <w:r>
              <w:rPr>
                <w:rFonts w:ascii="Arial" w:hAnsi="Arial" w:cs="Arial"/>
                <w:sz w:val="20"/>
                <w:szCs w:val="20"/>
              </w:rPr>
              <w:t>Highways and Transport, London Road Depot</w:t>
            </w:r>
            <w:r w:rsidRPr="00922AA9">
              <w:rPr>
                <w:rFonts w:ascii="Arial" w:hAnsi="Arial" w:cs="Arial"/>
                <w:sz w:val="20"/>
                <w:szCs w:val="20"/>
              </w:rPr>
              <w:t>, Bed</w:t>
            </w:r>
            <w:r w:rsidRPr="00922AA9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Pr="00922AA9">
              <w:rPr>
                <w:rFonts w:ascii="Arial" w:hAnsi="Arial" w:cs="Arial"/>
                <w:sz w:val="20"/>
                <w:szCs w:val="20"/>
              </w:rPr>
              <w:t>ord,</w:t>
            </w:r>
            <w:r w:rsidRPr="00922AA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22AA9">
              <w:rPr>
                <w:rFonts w:ascii="Arial" w:hAnsi="Arial" w:cs="Arial"/>
                <w:spacing w:val="-2"/>
                <w:sz w:val="20"/>
                <w:szCs w:val="20"/>
              </w:rPr>
              <w:t>M</w:t>
            </w:r>
            <w:r w:rsidRPr="00922AA9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922AA9">
              <w:rPr>
                <w:rFonts w:ascii="Arial" w:hAnsi="Arial" w:cs="Arial"/>
                <w:spacing w:val="1"/>
                <w:sz w:val="20"/>
                <w:szCs w:val="20"/>
              </w:rPr>
              <w:t>4</w:t>
            </w:r>
            <w:r w:rsidRPr="00922AA9">
              <w:rPr>
                <w:rFonts w:ascii="Arial" w:hAnsi="Arial" w:cs="Arial"/>
                <w:sz w:val="20"/>
                <w:szCs w:val="20"/>
              </w:rPr>
              <w:t>2</w:t>
            </w:r>
            <w:r w:rsidRPr="00922AA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OQG</w:t>
            </w:r>
            <w:r w:rsidRPr="00922AA9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922AA9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22AA9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hyperlink r:id="rId6">
              <w:r w:rsidRPr="00922AA9">
                <w:rPr>
                  <w:rFonts w:ascii="Arial" w:hAnsi="Arial" w:cs="Arial"/>
                  <w:sz w:val="20"/>
                  <w:szCs w:val="20"/>
                </w:rPr>
                <w:t xml:space="preserve">ail: 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7" w:history="1">
              <w:r w:rsidRPr="00925A9B">
                <w:rPr>
                  <w:rStyle w:val="Hyperlink"/>
                  <w:rFonts w:ascii="Arial" w:eastAsiaTheme="majorEastAsia" w:hAnsi="Arial" w:cs="Arial"/>
                  <w:sz w:val="20"/>
                  <w:szCs w:val="20"/>
                </w:rPr>
                <w:t>Highways.helpdesk@bedford.gov.uk</w:t>
              </w:r>
            </w:hyperlink>
          </w:p>
          <w:p w:rsidR="00936167" w:rsidRDefault="00936167" w:rsidP="00BA228E">
            <w:pPr>
              <w:spacing w:before="28" w:line="244" w:lineRule="exact"/>
              <w:ind w:left="120" w:right="806"/>
              <w:rPr>
                <w:rFonts w:ascii="Arial" w:hAnsi="Arial" w:cs="Arial"/>
                <w:sz w:val="20"/>
                <w:szCs w:val="20"/>
              </w:rPr>
            </w:pPr>
          </w:p>
          <w:p w:rsidR="00936167" w:rsidRDefault="00936167" w:rsidP="00BA228E">
            <w:pPr>
              <w:spacing w:before="28" w:line="244" w:lineRule="exact"/>
              <w:ind w:left="120" w:right="806"/>
              <w:rPr>
                <w:rFonts w:ascii="Arial" w:hAnsi="Arial" w:cs="Arial"/>
                <w:sz w:val="20"/>
                <w:szCs w:val="20"/>
              </w:rPr>
            </w:pPr>
          </w:p>
          <w:p w:rsidR="00936167" w:rsidRDefault="00936167" w:rsidP="00BA228E">
            <w:pPr>
              <w:spacing w:before="28" w:line="244" w:lineRule="exact"/>
              <w:ind w:left="120" w:right="806"/>
              <w:rPr>
                <w:rFonts w:ascii="Arial" w:hAnsi="Arial" w:cs="Arial"/>
                <w:sz w:val="20"/>
                <w:szCs w:val="20"/>
              </w:rPr>
            </w:pPr>
          </w:p>
          <w:p w:rsidR="00936167" w:rsidRDefault="00936167" w:rsidP="00BA228E">
            <w:pPr>
              <w:spacing w:before="28" w:line="244" w:lineRule="exact"/>
              <w:ind w:left="120" w:right="806"/>
              <w:rPr>
                <w:rFonts w:ascii="Arial" w:hAnsi="Arial" w:cs="Arial"/>
                <w:sz w:val="20"/>
                <w:szCs w:val="20"/>
              </w:rPr>
            </w:pPr>
          </w:p>
          <w:p w:rsidR="00936167" w:rsidRDefault="00936167" w:rsidP="00BA228E">
            <w:pPr>
              <w:spacing w:before="28" w:line="244" w:lineRule="exact"/>
              <w:ind w:left="120" w:right="806"/>
              <w:rPr>
                <w:rFonts w:ascii="Arial" w:hAnsi="Arial" w:cs="Arial"/>
                <w:sz w:val="20"/>
                <w:szCs w:val="20"/>
              </w:rPr>
            </w:pP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167" w:rsidRPr="00922AA9" w:rsidTr="00BA228E">
        <w:tc>
          <w:tcPr>
            <w:tcW w:w="8705" w:type="dxa"/>
            <w:gridSpan w:val="5"/>
            <w:shd w:val="clear" w:color="auto" w:fill="auto"/>
          </w:tcPr>
          <w:p w:rsidR="00936167" w:rsidRPr="00922AA9" w:rsidRDefault="00936167" w:rsidP="00BA228E">
            <w:pPr>
              <w:pStyle w:val="Default"/>
              <w:rPr>
                <w:b/>
                <w:sz w:val="20"/>
                <w:szCs w:val="20"/>
              </w:rPr>
            </w:pPr>
            <w:r w:rsidRPr="00922AA9">
              <w:rPr>
                <w:b/>
                <w:bCs/>
                <w:sz w:val="20"/>
                <w:szCs w:val="20"/>
              </w:rPr>
              <w:lastRenderedPageBreak/>
              <w:t>Temporary Traffic Regulation Order Notes</w:t>
            </w:r>
            <w:r w:rsidRPr="00922AA9">
              <w:rPr>
                <w:b/>
                <w:bCs/>
                <w:sz w:val="20"/>
                <w:szCs w:val="20"/>
              </w:rPr>
              <w:br/>
            </w:r>
          </w:p>
          <w:p w:rsidR="00936167" w:rsidRPr="00922AA9" w:rsidRDefault="00936167" w:rsidP="00BA228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922AA9">
              <w:rPr>
                <w:sz w:val="20"/>
                <w:szCs w:val="20"/>
              </w:rPr>
              <w:t>A request for a temporary closure must be accompanied by an application form</w:t>
            </w:r>
            <w:proofErr w:type="gramEnd"/>
            <w:r w:rsidRPr="00922AA9">
              <w:rPr>
                <w:sz w:val="20"/>
                <w:szCs w:val="20"/>
              </w:rPr>
              <w:t xml:space="preserve">. In urgent cases please call 01234 228924 or email </w:t>
            </w:r>
            <w:hyperlink r:id="rId8" w:history="1">
              <w:r w:rsidRPr="00925A9B">
                <w:rPr>
                  <w:rStyle w:val="Hyperlink"/>
                  <w:rFonts w:eastAsiaTheme="majorEastAsia"/>
                  <w:sz w:val="20"/>
                  <w:szCs w:val="20"/>
                </w:rPr>
                <w:t>highways.helpdesk@bedford.gov.uk</w:t>
              </w:r>
            </w:hyperlink>
          </w:p>
          <w:p w:rsidR="00936167" w:rsidRPr="00922AA9" w:rsidRDefault="00936167" w:rsidP="00BA228E">
            <w:pPr>
              <w:pStyle w:val="Default"/>
              <w:rPr>
                <w:sz w:val="20"/>
                <w:szCs w:val="20"/>
              </w:rPr>
            </w:pPr>
          </w:p>
          <w:p w:rsidR="00936167" w:rsidRPr="00922AA9" w:rsidRDefault="00936167" w:rsidP="00BA228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22AA9">
              <w:rPr>
                <w:sz w:val="20"/>
                <w:szCs w:val="20"/>
              </w:rPr>
              <w:t>We require at least four</w:t>
            </w:r>
            <w:r w:rsidRPr="00922A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22AA9">
              <w:rPr>
                <w:sz w:val="20"/>
                <w:szCs w:val="20"/>
              </w:rPr>
              <w:t>weeks notice</w:t>
            </w:r>
            <w:proofErr w:type="spellEnd"/>
            <w:r w:rsidRPr="00922AA9">
              <w:rPr>
                <w:sz w:val="20"/>
                <w:szCs w:val="20"/>
              </w:rPr>
              <w:t xml:space="preserve"> in order to prepare the necessary documentation.</w:t>
            </w:r>
            <w:r w:rsidRPr="00922AA9">
              <w:rPr>
                <w:sz w:val="20"/>
                <w:szCs w:val="20"/>
              </w:rPr>
              <w:br/>
            </w:r>
          </w:p>
          <w:p w:rsidR="00936167" w:rsidRPr="00922AA9" w:rsidRDefault="00936167" w:rsidP="00BA228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22AA9">
              <w:rPr>
                <w:sz w:val="20"/>
                <w:szCs w:val="20"/>
              </w:rPr>
              <w:t xml:space="preserve"> A plan </w:t>
            </w:r>
            <w:proofErr w:type="gramStart"/>
            <w:r w:rsidRPr="00922AA9">
              <w:rPr>
                <w:sz w:val="20"/>
                <w:szCs w:val="20"/>
              </w:rPr>
              <w:t>must be attached</w:t>
            </w:r>
            <w:proofErr w:type="gramEnd"/>
            <w:r w:rsidRPr="00922AA9">
              <w:rPr>
                <w:sz w:val="20"/>
                <w:szCs w:val="20"/>
              </w:rPr>
              <w:t xml:space="preserve"> showing the length of path to be affected.</w:t>
            </w:r>
            <w:r w:rsidRPr="00922AA9">
              <w:rPr>
                <w:sz w:val="20"/>
                <w:szCs w:val="20"/>
              </w:rPr>
              <w:br/>
            </w:r>
          </w:p>
          <w:p w:rsidR="00936167" w:rsidRDefault="00936167" w:rsidP="00BA228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22AA9">
              <w:rPr>
                <w:sz w:val="20"/>
                <w:szCs w:val="20"/>
              </w:rPr>
              <w:t xml:space="preserve">The completed form should be sent to the address shown at the bottom of the application page or emailed to </w:t>
            </w:r>
            <w:hyperlink r:id="rId9" w:history="1">
              <w:r w:rsidRPr="00925A9B">
                <w:rPr>
                  <w:rStyle w:val="Hyperlink"/>
                  <w:rFonts w:eastAsiaTheme="majorEastAsia"/>
                  <w:sz w:val="20"/>
                  <w:szCs w:val="20"/>
                </w:rPr>
                <w:t>highways.helpdesk@bedford.gov.uk</w:t>
              </w:r>
            </w:hyperlink>
          </w:p>
          <w:p w:rsidR="00936167" w:rsidRPr="00922AA9" w:rsidRDefault="00936167" w:rsidP="00BA228E">
            <w:pPr>
              <w:pStyle w:val="Default"/>
              <w:ind w:left="360"/>
              <w:rPr>
                <w:sz w:val="20"/>
                <w:szCs w:val="20"/>
              </w:rPr>
            </w:pPr>
            <w:r w:rsidRPr="00922AA9">
              <w:rPr>
                <w:sz w:val="20"/>
                <w:szCs w:val="20"/>
              </w:rPr>
              <w:t xml:space="preserve"> </w:t>
            </w:r>
          </w:p>
          <w:p w:rsidR="00936167" w:rsidRPr="00922AA9" w:rsidRDefault="00936167" w:rsidP="00BA228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22AA9">
              <w:rPr>
                <w:sz w:val="20"/>
                <w:szCs w:val="20"/>
              </w:rPr>
              <w:t xml:space="preserve">The maximum duration for a Temporary Closure Order is six months. </w:t>
            </w:r>
            <w:proofErr w:type="gramStart"/>
            <w:r w:rsidRPr="00922AA9">
              <w:rPr>
                <w:sz w:val="20"/>
                <w:szCs w:val="20"/>
              </w:rPr>
              <w:t>This can be extended by the Secretary of State</w:t>
            </w:r>
            <w:proofErr w:type="gramEnd"/>
            <w:r w:rsidRPr="00922AA9">
              <w:rPr>
                <w:sz w:val="20"/>
                <w:szCs w:val="20"/>
              </w:rPr>
              <w:t xml:space="preserve"> but we will require at least four </w:t>
            </w:r>
            <w:proofErr w:type="spellStart"/>
            <w:r w:rsidRPr="00922AA9">
              <w:rPr>
                <w:sz w:val="20"/>
                <w:szCs w:val="20"/>
              </w:rPr>
              <w:t>weeks notice</w:t>
            </w:r>
            <w:proofErr w:type="spellEnd"/>
            <w:r w:rsidRPr="00922AA9">
              <w:rPr>
                <w:sz w:val="20"/>
                <w:szCs w:val="20"/>
              </w:rPr>
              <w:t xml:space="preserve"> to administer the process. Administration charges for an extension apply. </w:t>
            </w:r>
            <w:r w:rsidRPr="00922AA9">
              <w:rPr>
                <w:sz w:val="20"/>
                <w:szCs w:val="20"/>
              </w:rPr>
              <w:br/>
            </w:r>
          </w:p>
          <w:p w:rsidR="00936167" w:rsidRPr="00922AA9" w:rsidRDefault="00936167" w:rsidP="00BA228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22AA9">
              <w:rPr>
                <w:sz w:val="20"/>
                <w:szCs w:val="20"/>
              </w:rPr>
              <w:t xml:space="preserve">Extra administration charges </w:t>
            </w:r>
            <w:proofErr w:type="gramStart"/>
            <w:r w:rsidRPr="00922AA9">
              <w:rPr>
                <w:sz w:val="20"/>
                <w:szCs w:val="20"/>
              </w:rPr>
              <w:t>will be made</w:t>
            </w:r>
            <w:proofErr w:type="gramEnd"/>
            <w:r w:rsidRPr="00922AA9">
              <w:rPr>
                <w:sz w:val="20"/>
                <w:szCs w:val="20"/>
              </w:rPr>
              <w:t xml:space="preserve"> for large schemes based on 10% per extra path.</w:t>
            </w:r>
            <w:r w:rsidRPr="00922AA9">
              <w:rPr>
                <w:sz w:val="20"/>
                <w:szCs w:val="20"/>
              </w:rPr>
              <w:br/>
            </w:r>
          </w:p>
          <w:p w:rsidR="00936167" w:rsidRPr="00922AA9" w:rsidRDefault="00936167" w:rsidP="00BA228E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22AA9">
              <w:rPr>
                <w:sz w:val="20"/>
                <w:szCs w:val="20"/>
              </w:rPr>
              <w:t xml:space="preserve">This Council will invoice for charges at appropriate times in the process. </w:t>
            </w:r>
            <w:r w:rsidRPr="00922AA9">
              <w:rPr>
                <w:sz w:val="20"/>
                <w:szCs w:val="20"/>
              </w:rPr>
              <w:br/>
              <w:t xml:space="preserve">You </w:t>
            </w:r>
            <w:proofErr w:type="gramStart"/>
            <w:r w:rsidRPr="00922AA9">
              <w:rPr>
                <w:sz w:val="20"/>
                <w:szCs w:val="20"/>
              </w:rPr>
              <w:t>may be invoiced</w:t>
            </w:r>
            <w:proofErr w:type="gramEnd"/>
            <w:r w:rsidRPr="00922AA9">
              <w:rPr>
                <w:sz w:val="20"/>
                <w:szCs w:val="20"/>
              </w:rPr>
              <w:t xml:space="preserve"> for any costs incurred by this authority.</w:t>
            </w:r>
          </w:p>
          <w:p w:rsidR="00936167" w:rsidRPr="00922AA9" w:rsidRDefault="00936167" w:rsidP="00BA228E">
            <w:pPr>
              <w:pStyle w:val="Default"/>
              <w:rPr>
                <w:sz w:val="20"/>
                <w:szCs w:val="20"/>
              </w:rPr>
            </w:pPr>
          </w:p>
          <w:p w:rsidR="00936167" w:rsidRPr="00922AA9" w:rsidRDefault="00936167" w:rsidP="00BA228E">
            <w:pPr>
              <w:pStyle w:val="Default"/>
              <w:rPr>
                <w:sz w:val="20"/>
                <w:szCs w:val="20"/>
              </w:rPr>
            </w:pPr>
          </w:p>
          <w:p w:rsidR="00936167" w:rsidRPr="00922AA9" w:rsidRDefault="00936167" w:rsidP="00BA228E">
            <w:pPr>
              <w:spacing w:before="28" w:line="244" w:lineRule="exact"/>
              <w:ind w:left="120" w:right="806"/>
              <w:rPr>
                <w:rFonts w:ascii="Arial" w:hAnsi="Arial" w:cs="Arial"/>
                <w:sz w:val="20"/>
                <w:szCs w:val="20"/>
              </w:rPr>
            </w:pPr>
          </w:p>
          <w:p w:rsidR="00936167" w:rsidRPr="00922AA9" w:rsidRDefault="00936167" w:rsidP="00BA22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6167" w:rsidRPr="009D53ED" w:rsidRDefault="00936167" w:rsidP="00936167">
      <w:pPr>
        <w:rPr>
          <w:rFonts w:ascii="Arial" w:hAnsi="Arial" w:cs="Arial"/>
          <w:sz w:val="20"/>
          <w:szCs w:val="20"/>
        </w:rPr>
      </w:pPr>
    </w:p>
    <w:p w:rsidR="00107580" w:rsidRDefault="00107580"/>
    <w:sectPr w:rsidR="00107580" w:rsidSect="004103E0">
      <w:pgSz w:w="11906" w:h="16838" w:code="9"/>
      <w:pgMar w:top="1079" w:right="1797" w:bottom="899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9635C"/>
    <w:multiLevelType w:val="hybridMultilevel"/>
    <w:tmpl w:val="3D16E1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67"/>
    <w:rsid w:val="00107580"/>
    <w:rsid w:val="001475ED"/>
    <w:rsid w:val="0067545E"/>
    <w:rsid w:val="00936167"/>
    <w:rsid w:val="0098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E542E9C"/>
  <w15:chartTrackingRefBased/>
  <w15:docId w15:val="{6FB6730E-26A1-4456-B7A9-FACA2ED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61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yperlink">
    <w:name w:val="Hyperlink"/>
    <w:rsid w:val="009361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54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ways.helpdesk@bedford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ighways.helpdesk@bedford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w@bedford.gov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ighways.helpdesk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of Way temporary closure applicaton form</vt:lpstr>
    </vt:vector>
  </TitlesOfParts>
  <Company>Bedford Borough Council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of Way temporary closure applicaton form</dc:title>
  <dc:subject/>
  <dc:creator>Angela Soane</dc:creator>
  <cp:keywords/>
  <dc:description/>
  <cp:lastModifiedBy>Angela Soane</cp:lastModifiedBy>
  <cp:revision>3</cp:revision>
  <dcterms:created xsi:type="dcterms:W3CDTF">2022-12-30T12:20:00Z</dcterms:created>
  <dcterms:modified xsi:type="dcterms:W3CDTF">2022-12-30T12:34:00Z</dcterms:modified>
</cp:coreProperties>
</file>